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EE6" w:rsidRPr="002240F9" w:rsidRDefault="00785EE6" w:rsidP="00785EE6">
      <w:pPr>
        <w:jc w:val="center"/>
        <w:rPr>
          <w:rFonts w:ascii="黑体" w:eastAsia="黑体" w:hAnsi="黑体" w:cs="黑体"/>
          <w:sz w:val="36"/>
          <w:szCs w:val="36"/>
        </w:rPr>
      </w:pPr>
      <w:bookmarkStart w:id="0" w:name="_Toc425952660"/>
      <w:r>
        <w:rPr>
          <w:rFonts w:ascii="黑体" w:eastAsia="黑体" w:hAnsi="黑体" w:cs="黑体" w:hint="eastAsia"/>
          <w:sz w:val="36"/>
          <w:szCs w:val="36"/>
        </w:rPr>
        <w:t>东北师范大学大学英语教学计划</w:t>
      </w:r>
      <w:bookmarkEnd w:id="0"/>
    </w:p>
    <w:p w:rsidR="00785EE6" w:rsidRDefault="00785EE6" w:rsidP="00785EE6">
      <w:pPr>
        <w:spacing w:line="360" w:lineRule="exact"/>
        <w:ind w:firstLineChars="200" w:firstLine="440"/>
        <w:rPr>
          <w:rFonts w:ascii="宋体" w:hAnsi="宋体"/>
          <w:sz w:val="22"/>
          <w:szCs w:val="22"/>
        </w:rPr>
      </w:pPr>
      <w:r>
        <w:rPr>
          <w:rFonts w:ascii="宋体" w:hAnsi="宋体" w:hint="eastAsia"/>
          <w:sz w:val="22"/>
          <w:szCs w:val="22"/>
        </w:rPr>
        <w:t>根据教育部2015年最新颁布的《大学英语教学指南》以及东北师范大学建设世界一流师范大学的发展目标，特制订我校新的大学英语教学计划。</w:t>
      </w:r>
    </w:p>
    <w:p w:rsidR="00785EE6" w:rsidRDefault="00785EE6" w:rsidP="00785EE6">
      <w:pPr>
        <w:ind w:firstLineChars="200" w:firstLine="480"/>
        <w:rPr>
          <w:sz w:val="24"/>
        </w:rPr>
      </w:pPr>
    </w:p>
    <w:p w:rsidR="00785EE6" w:rsidRDefault="00785EE6" w:rsidP="00785EE6">
      <w:pPr>
        <w:spacing w:line="360" w:lineRule="exact"/>
        <w:ind w:firstLineChars="200" w:firstLine="440"/>
        <w:rPr>
          <w:rFonts w:ascii="黑体" w:eastAsia="黑体" w:hAnsi="黑体"/>
          <w:sz w:val="22"/>
          <w:szCs w:val="22"/>
        </w:rPr>
      </w:pPr>
      <w:r>
        <w:rPr>
          <w:rFonts w:ascii="黑体" w:eastAsia="黑体" w:hAnsi="黑体" w:hint="eastAsia"/>
          <w:sz w:val="22"/>
          <w:szCs w:val="22"/>
        </w:rPr>
        <w:t>（一）培养目标</w:t>
      </w:r>
    </w:p>
    <w:p w:rsidR="00785EE6" w:rsidRDefault="00785EE6" w:rsidP="00785EE6">
      <w:pPr>
        <w:spacing w:line="360" w:lineRule="exact"/>
        <w:ind w:firstLineChars="200" w:firstLine="440"/>
        <w:rPr>
          <w:rFonts w:ascii="宋体" w:hAnsi="宋体"/>
          <w:sz w:val="22"/>
          <w:szCs w:val="22"/>
        </w:rPr>
      </w:pPr>
      <w:r>
        <w:rPr>
          <w:rFonts w:ascii="宋体" w:hAnsi="宋体" w:hint="eastAsia"/>
          <w:sz w:val="22"/>
          <w:szCs w:val="22"/>
        </w:rPr>
        <w:t>东北师范大学本科生大学英语培养目标是通过大学英语课程学习提高学生的英语综合应用能力，尤其是英语口语和写作能力；培养可持续的英语自主学习意识和能力；通过以英语为主要教学语言，提升学生的人文素养，拓展学生国际视野，培养学生的跨文化交际能力；通过开展学术英语听说和学术英语写作等技能训练，使学生能够使用英语辅助学业学习、学术交流。</w:t>
      </w:r>
    </w:p>
    <w:p w:rsidR="00785EE6" w:rsidRDefault="00785EE6" w:rsidP="00785EE6">
      <w:pPr>
        <w:ind w:firstLineChars="200" w:firstLine="480"/>
        <w:rPr>
          <w:sz w:val="24"/>
        </w:rPr>
      </w:pPr>
    </w:p>
    <w:p w:rsidR="00785EE6" w:rsidRDefault="00785EE6" w:rsidP="00785EE6">
      <w:pPr>
        <w:spacing w:line="360" w:lineRule="exact"/>
        <w:ind w:firstLineChars="200" w:firstLine="440"/>
        <w:rPr>
          <w:rFonts w:ascii="黑体" w:eastAsia="黑体" w:hAnsi="黑体"/>
          <w:sz w:val="22"/>
          <w:szCs w:val="22"/>
        </w:rPr>
      </w:pPr>
      <w:r>
        <w:rPr>
          <w:rFonts w:ascii="黑体" w:eastAsia="黑体" w:hAnsi="黑体" w:hint="eastAsia"/>
          <w:sz w:val="22"/>
          <w:szCs w:val="22"/>
        </w:rPr>
        <w:t>（二）培养要求</w:t>
      </w:r>
    </w:p>
    <w:p w:rsidR="00785EE6" w:rsidRDefault="00785EE6" w:rsidP="00785EE6">
      <w:pPr>
        <w:spacing w:line="360" w:lineRule="exact"/>
        <w:ind w:firstLineChars="200" w:firstLine="440"/>
        <w:rPr>
          <w:rFonts w:ascii="宋体" w:hAnsi="宋体"/>
          <w:sz w:val="22"/>
          <w:szCs w:val="22"/>
        </w:rPr>
      </w:pPr>
      <w:r>
        <w:rPr>
          <w:rFonts w:ascii="宋体" w:hAnsi="宋体" w:hint="eastAsia"/>
          <w:sz w:val="22"/>
          <w:szCs w:val="22"/>
        </w:rPr>
        <w:t>本科生在读期间，需根据教学要求修满</w:t>
      </w:r>
      <w:r>
        <w:rPr>
          <w:rFonts w:ascii="宋体" w:hAnsi="宋体"/>
          <w:sz w:val="22"/>
          <w:szCs w:val="22"/>
        </w:rPr>
        <w:t>10</w:t>
      </w:r>
      <w:r>
        <w:rPr>
          <w:rFonts w:ascii="宋体" w:hAnsi="宋体" w:hint="eastAsia"/>
          <w:sz w:val="22"/>
          <w:szCs w:val="22"/>
        </w:rPr>
        <w:t>学分的英语课程，并通过“东北师范大学英语水平测试”（DET）（普通类、术科类）。10学分课程中，</w:t>
      </w:r>
      <w:r>
        <w:rPr>
          <w:rFonts w:ascii="宋体" w:hAnsi="宋体"/>
          <w:sz w:val="22"/>
          <w:szCs w:val="22"/>
        </w:rPr>
        <w:t>8</w:t>
      </w:r>
      <w:r>
        <w:rPr>
          <w:rFonts w:ascii="宋体" w:hAnsi="宋体" w:hint="eastAsia"/>
          <w:sz w:val="22"/>
          <w:szCs w:val="22"/>
        </w:rPr>
        <w:t>学分为大学英语必修课程，1-2学期修完；</w:t>
      </w:r>
      <w:r>
        <w:rPr>
          <w:rFonts w:ascii="宋体" w:hAnsi="宋体"/>
          <w:sz w:val="22"/>
          <w:szCs w:val="22"/>
        </w:rPr>
        <w:t>2</w:t>
      </w:r>
      <w:r>
        <w:rPr>
          <w:rFonts w:ascii="宋体" w:hAnsi="宋体" w:hint="eastAsia"/>
          <w:sz w:val="22"/>
          <w:szCs w:val="22"/>
        </w:rPr>
        <w:t>学分为选修课程（在“大学英语课程列表”的“选修课程”中选择）。</w:t>
      </w:r>
    </w:p>
    <w:p w:rsidR="00785EE6" w:rsidRDefault="00785EE6" w:rsidP="00785EE6">
      <w:pPr>
        <w:rPr>
          <w:sz w:val="24"/>
        </w:rPr>
      </w:pPr>
    </w:p>
    <w:p w:rsidR="00785EE6" w:rsidRDefault="00785EE6" w:rsidP="00785EE6">
      <w:pPr>
        <w:spacing w:line="360" w:lineRule="exact"/>
        <w:ind w:firstLineChars="200" w:firstLine="440"/>
        <w:rPr>
          <w:rFonts w:ascii="黑体" w:eastAsia="黑体" w:hAnsi="黑体"/>
          <w:sz w:val="22"/>
          <w:szCs w:val="22"/>
        </w:rPr>
      </w:pPr>
      <w:r>
        <w:rPr>
          <w:rFonts w:ascii="黑体" w:eastAsia="黑体" w:hAnsi="黑体" w:hint="eastAsia"/>
          <w:sz w:val="22"/>
          <w:szCs w:val="22"/>
        </w:rPr>
        <w:t>（三）课程设置</w:t>
      </w:r>
    </w:p>
    <w:p w:rsidR="00785EE6" w:rsidRDefault="00785EE6" w:rsidP="00785EE6">
      <w:pPr>
        <w:spacing w:line="360" w:lineRule="exact"/>
        <w:ind w:firstLineChars="200" w:firstLine="440"/>
        <w:rPr>
          <w:rFonts w:ascii="宋体" w:hAnsi="宋体"/>
          <w:sz w:val="22"/>
          <w:szCs w:val="22"/>
        </w:rPr>
      </w:pPr>
      <w:r>
        <w:rPr>
          <w:rFonts w:ascii="宋体" w:hAnsi="宋体" w:hint="eastAsia"/>
          <w:sz w:val="22"/>
          <w:szCs w:val="22"/>
        </w:rPr>
        <w:t>大学英语课程分为大学英语语言基础课程、语言能力提高课程、通用学术英语课程、跨语言文化交际课程和第二外语课程五大模块（详见大学英语课程列表）。其中，语言基础课程模块为必修课程，其余模块为选修课程。</w:t>
      </w:r>
    </w:p>
    <w:p w:rsidR="00785EE6" w:rsidRDefault="00785EE6" w:rsidP="00785EE6">
      <w:pPr>
        <w:spacing w:line="360" w:lineRule="exact"/>
        <w:ind w:firstLineChars="200" w:firstLine="440"/>
        <w:rPr>
          <w:rFonts w:ascii="宋体" w:hAnsi="宋体"/>
          <w:sz w:val="22"/>
          <w:szCs w:val="22"/>
        </w:rPr>
      </w:pPr>
      <w:r>
        <w:rPr>
          <w:rFonts w:ascii="宋体" w:hAnsi="宋体" w:hint="eastAsia"/>
          <w:sz w:val="22"/>
          <w:szCs w:val="22"/>
        </w:rPr>
        <w:t>大学英语语言基础课程（4学时/周）</w:t>
      </w:r>
      <w:proofErr w:type="gramStart"/>
      <w:r>
        <w:rPr>
          <w:rFonts w:ascii="宋体" w:hAnsi="宋体" w:hint="eastAsia"/>
          <w:sz w:val="22"/>
          <w:szCs w:val="22"/>
        </w:rPr>
        <w:t>配每周</w:t>
      </w:r>
      <w:proofErr w:type="gramEnd"/>
      <w:r>
        <w:rPr>
          <w:rFonts w:ascii="宋体" w:hAnsi="宋体" w:hint="eastAsia"/>
          <w:sz w:val="22"/>
          <w:szCs w:val="22"/>
        </w:rPr>
        <w:t>1学时的数字化平台上机学习课程。必修课成绩设通过（</w:t>
      </w:r>
      <w:r>
        <w:rPr>
          <w:rFonts w:ascii="宋体" w:hAnsi="宋体"/>
          <w:sz w:val="22"/>
          <w:szCs w:val="22"/>
        </w:rPr>
        <w:t>P</w:t>
      </w:r>
      <w:r>
        <w:rPr>
          <w:rFonts w:ascii="宋体" w:hAnsi="宋体" w:hint="eastAsia"/>
          <w:sz w:val="22"/>
          <w:szCs w:val="22"/>
        </w:rPr>
        <w:t>）和不通过（</w:t>
      </w:r>
      <w:r>
        <w:rPr>
          <w:rFonts w:ascii="宋体" w:hAnsi="宋体"/>
          <w:sz w:val="22"/>
          <w:szCs w:val="22"/>
        </w:rPr>
        <w:t>NP</w:t>
      </w:r>
      <w:r>
        <w:rPr>
          <w:rFonts w:ascii="宋体" w:hAnsi="宋体" w:hint="eastAsia"/>
          <w:sz w:val="22"/>
          <w:szCs w:val="22"/>
        </w:rPr>
        <w:t>）两种，通过后获得相应学分。</w:t>
      </w:r>
    </w:p>
    <w:p w:rsidR="00785EE6" w:rsidRDefault="00785EE6" w:rsidP="00785EE6">
      <w:pPr>
        <w:spacing w:line="360" w:lineRule="exact"/>
        <w:ind w:firstLineChars="200" w:firstLine="440"/>
        <w:rPr>
          <w:rFonts w:ascii="宋体" w:hAnsi="宋体"/>
          <w:sz w:val="22"/>
          <w:szCs w:val="22"/>
        </w:rPr>
      </w:pPr>
      <w:r>
        <w:rPr>
          <w:rFonts w:ascii="宋体" w:hAnsi="宋体" w:hint="eastAsia"/>
          <w:sz w:val="22"/>
          <w:szCs w:val="22"/>
        </w:rPr>
        <w:t>学生入学后，凡需修读大学英语课程的学生均需参加东北师范大学入学英语分级测试（英语读、写、听力），并按成绩分班。普通类学生参加普通类大学英语分级测试，根据成绩分为A、B班，音体美专业学生及少数民族学生参加术科类大学英语分级测试，按成绩分为C、D班。</w:t>
      </w:r>
    </w:p>
    <w:p w:rsidR="00785EE6" w:rsidRDefault="00785EE6" w:rsidP="00785EE6">
      <w:pPr>
        <w:spacing w:line="360" w:lineRule="exact"/>
        <w:ind w:firstLineChars="200" w:firstLine="440"/>
        <w:rPr>
          <w:rFonts w:ascii="宋体" w:hAnsi="宋体"/>
          <w:sz w:val="22"/>
          <w:szCs w:val="22"/>
        </w:rPr>
      </w:pPr>
      <w:r>
        <w:rPr>
          <w:rFonts w:ascii="宋体" w:hAnsi="宋体"/>
          <w:sz w:val="22"/>
          <w:szCs w:val="22"/>
        </w:rPr>
        <w:t>学生入学后</w:t>
      </w:r>
      <w:r>
        <w:rPr>
          <w:rFonts w:ascii="宋体" w:hAnsi="宋体" w:hint="eastAsia"/>
          <w:sz w:val="22"/>
          <w:szCs w:val="22"/>
        </w:rPr>
        <w:t>，</w:t>
      </w:r>
      <w:r>
        <w:rPr>
          <w:rFonts w:ascii="宋体" w:hAnsi="宋体"/>
          <w:sz w:val="22"/>
          <w:szCs w:val="22"/>
        </w:rPr>
        <w:t>对已获得托福成绩</w:t>
      </w:r>
      <w:r>
        <w:rPr>
          <w:rFonts w:ascii="宋体" w:hAnsi="宋体" w:hint="eastAsia"/>
          <w:sz w:val="22"/>
          <w:szCs w:val="22"/>
        </w:rPr>
        <w:t>90分（且单项分数不低于21分）</w:t>
      </w:r>
      <w:proofErr w:type="gramStart"/>
      <w:r>
        <w:rPr>
          <w:rFonts w:ascii="宋体" w:hAnsi="宋体" w:hint="eastAsia"/>
          <w:sz w:val="22"/>
          <w:szCs w:val="22"/>
        </w:rPr>
        <w:t>或雅思成绩</w:t>
      </w:r>
      <w:proofErr w:type="gramEnd"/>
      <w:r>
        <w:rPr>
          <w:rFonts w:ascii="宋体" w:hAnsi="宋体" w:hint="eastAsia"/>
          <w:sz w:val="22"/>
          <w:szCs w:val="22"/>
        </w:rPr>
        <w:t>6.5分（且单项分数不低于6分）以上的学生可免修8学分的大学英语语言基础课程（成绩按折算成百分数后×1.2计算）；托福成绩80分（且单项成绩不低于19.5分）</w:t>
      </w:r>
      <w:proofErr w:type="gramStart"/>
      <w:r>
        <w:rPr>
          <w:rFonts w:ascii="宋体" w:hAnsi="宋体" w:hint="eastAsia"/>
          <w:sz w:val="22"/>
          <w:szCs w:val="22"/>
        </w:rPr>
        <w:t>或雅思成绩</w:t>
      </w:r>
      <w:proofErr w:type="gramEnd"/>
      <w:r>
        <w:rPr>
          <w:rFonts w:ascii="宋体" w:hAnsi="宋体" w:hint="eastAsia"/>
          <w:sz w:val="22"/>
          <w:szCs w:val="22"/>
        </w:rPr>
        <w:t>6.0分（且单项分数不低于5.5分）以上的学生可免修4学分的大学英语语言基础课程（成绩按折算成百分数后×1.2计算）；大学英语四级成绩533分（且单项分数不低于70％）或大学英语六级成绩425分（且单项分数不低于60％）的学生可免修4学分的大学英语语言基础课程（成绩按折算成百分数后×1.1计算）；校内英语水平考试80分以上，可免修剩余英语必修课程（成绩按实际成绩×1.1计算）。</w:t>
      </w:r>
    </w:p>
    <w:p w:rsidR="00785EE6" w:rsidRDefault="00785EE6" w:rsidP="00785EE6">
      <w:pPr>
        <w:pStyle w:val="2"/>
        <w:ind w:firstLineChars="0" w:firstLine="0"/>
        <w:rPr>
          <w:sz w:val="24"/>
          <w:szCs w:val="24"/>
        </w:rPr>
      </w:pPr>
    </w:p>
    <w:p w:rsidR="00785EE6" w:rsidRDefault="00785EE6" w:rsidP="00785EE6">
      <w:pPr>
        <w:spacing w:line="360" w:lineRule="exact"/>
        <w:ind w:firstLineChars="200" w:firstLine="440"/>
        <w:rPr>
          <w:rFonts w:ascii="黑体" w:eastAsia="黑体" w:hAnsi="黑体"/>
          <w:sz w:val="22"/>
          <w:szCs w:val="22"/>
        </w:rPr>
      </w:pPr>
      <w:r>
        <w:rPr>
          <w:rFonts w:ascii="黑体" w:eastAsia="黑体" w:hAnsi="黑体" w:hint="eastAsia"/>
          <w:sz w:val="22"/>
          <w:szCs w:val="22"/>
        </w:rPr>
        <w:t>（四）成绩计算</w:t>
      </w:r>
    </w:p>
    <w:p w:rsidR="00785EE6" w:rsidRDefault="00785EE6" w:rsidP="00785EE6">
      <w:pPr>
        <w:spacing w:line="360" w:lineRule="exact"/>
        <w:ind w:firstLineChars="200" w:firstLine="440"/>
        <w:rPr>
          <w:rFonts w:ascii="宋体" w:hAnsi="宋体"/>
          <w:sz w:val="22"/>
          <w:szCs w:val="22"/>
        </w:rPr>
      </w:pPr>
      <w:r>
        <w:rPr>
          <w:rFonts w:ascii="宋体" w:hAnsi="宋体" w:hint="eastAsia"/>
          <w:sz w:val="22"/>
          <w:szCs w:val="22"/>
        </w:rPr>
        <w:t>东北师范大学大学英语课程成绩由“东北师范大学英语水平测试”（DET）成绩和过</w:t>
      </w:r>
      <w:r>
        <w:rPr>
          <w:rFonts w:ascii="宋体" w:hAnsi="宋体" w:hint="eastAsia"/>
          <w:sz w:val="22"/>
          <w:szCs w:val="22"/>
        </w:rPr>
        <w:lastRenderedPageBreak/>
        <w:t>程性评价成绩两部分组成。</w:t>
      </w:r>
    </w:p>
    <w:p w:rsidR="00785EE6" w:rsidRDefault="00785EE6" w:rsidP="00785EE6">
      <w:pPr>
        <w:spacing w:line="360" w:lineRule="exact"/>
        <w:ind w:firstLineChars="200" w:firstLine="442"/>
        <w:rPr>
          <w:rFonts w:ascii="宋体" w:hAnsi="宋体"/>
          <w:b/>
          <w:sz w:val="22"/>
          <w:szCs w:val="22"/>
        </w:rPr>
      </w:pPr>
      <w:r>
        <w:rPr>
          <w:rFonts w:ascii="宋体" w:hAnsi="宋体" w:hint="eastAsia"/>
          <w:b/>
          <w:sz w:val="22"/>
          <w:szCs w:val="22"/>
        </w:rPr>
        <w:t>1.“大学英语水平测试”（DET）（占期末总成绩50％）</w:t>
      </w:r>
    </w:p>
    <w:p w:rsidR="00785EE6" w:rsidRDefault="00785EE6" w:rsidP="00785EE6">
      <w:pPr>
        <w:spacing w:line="360" w:lineRule="exact"/>
        <w:ind w:firstLineChars="200" w:firstLine="440"/>
        <w:rPr>
          <w:rFonts w:ascii="宋体" w:hAnsi="宋体"/>
          <w:sz w:val="22"/>
          <w:szCs w:val="22"/>
        </w:rPr>
      </w:pPr>
      <w:r>
        <w:rPr>
          <w:rFonts w:ascii="宋体" w:hAnsi="宋体" w:hint="eastAsia"/>
          <w:sz w:val="22"/>
          <w:szCs w:val="22"/>
        </w:rPr>
        <w:t>凡根据教学要求应修读大学英语10学分的A班和B班学生，每学期均需参加“东北师范大学大学英语水平测试（DET）（普通类）”，Ｃ班和D班学生需参加“东北师范大学大学英语水平测试（DET）（术科类）”，成绩占期末课程考试总成绩的50%。同时，通过以上英语水平测试是学生获得东北师范大学学位证书的必要条件。学生在学期间可免费参加“大学英语水平测试”（DET）两次，从参加第三次考试开始收费，每次收费100元。</w:t>
      </w:r>
    </w:p>
    <w:p w:rsidR="00785EE6" w:rsidRDefault="00785EE6" w:rsidP="00785EE6">
      <w:pPr>
        <w:spacing w:line="360" w:lineRule="exact"/>
        <w:ind w:firstLineChars="200" w:firstLine="442"/>
        <w:rPr>
          <w:rFonts w:ascii="宋体" w:hAnsi="宋体"/>
          <w:b/>
          <w:sz w:val="22"/>
          <w:szCs w:val="22"/>
        </w:rPr>
      </w:pPr>
      <w:r>
        <w:rPr>
          <w:rFonts w:ascii="宋体" w:hAnsi="宋体" w:hint="eastAsia"/>
          <w:b/>
          <w:sz w:val="22"/>
          <w:szCs w:val="22"/>
        </w:rPr>
        <w:t>2.过程性评价（占期末总成绩50％）</w:t>
      </w:r>
    </w:p>
    <w:p w:rsidR="00785EE6" w:rsidRDefault="00785EE6" w:rsidP="00785EE6">
      <w:pPr>
        <w:spacing w:line="360" w:lineRule="exact"/>
        <w:ind w:firstLineChars="200" w:firstLine="440"/>
        <w:rPr>
          <w:sz w:val="24"/>
        </w:rPr>
      </w:pPr>
      <w:r>
        <w:rPr>
          <w:rFonts w:ascii="宋体" w:hAnsi="宋体" w:hint="eastAsia"/>
          <w:sz w:val="22"/>
          <w:szCs w:val="22"/>
        </w:rPr>
        <w:t>在大学英语语言基础课程学习过程中，过程性评价包括平时成绩（30％，其中包括：在线听力自主学习10%、统一命题测试1次10%、出席及课堂表现10%）、上机学习（10％）和口语测试（10％）三个部分。</w:t>
      </w:r>
    </w:p>
    <w:p w:rsidR="00785EE6" w:rsidRDefault="00785EE6" w:rsidP="004A4326">
      <w:pPr>
        <w:spacing w:afterLines="50" w:after="156" w:line="360" w:lineRule="exact"/>
        <w:jc w:val="center"/>
        <w:rPr>
          <w:rFonts w:ascii="宋体" w:hAnsi="宋体"/>
          <w:b/>
          <w:color w:val="000000"/>
          <w:szCs w:val="20"/>
        </w:rPr>
      </w:pPr>
      <w:r>
        <w:rPr>
          <w:rFonts w:ascii="宋体" w:hAnsi="宋体" w:hint="eastAsia"/>
          <w:b/>
          <w:color w:val="000000"/>
          <w:szCs w:val="20"/>
        </w:rPr>
        <w:t>大学英语课程列表</w:t>
      </w:r>
    </w:p>
    <w:tbl>
      <w:tblPr>
        <w:tblW w:w="9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2"/>
        <w:gridCol w:w="1570"/>
        <w:gridCol w:w="578"/>
        <w:gridCol w:w="2399"/>
        <w:gridCol w:w="1275"/>
        <w:gridCol w:w="567"/>
        <w:gridCol w:w="848"/>
        <w:gridCol w:w="700"/>
        <w:gridCol w:w="630"/>
      </w:tblGrid>
      <w:tr w:rsidR="00785EE6" w:rsidTr="00A715B5">
        <w:trPr>
          <w:trHeight w:val="614"/>
          <w:jc w:val="center"/>
        </w:trPr>
        <w:tc>
          <w:tcPr>
            <w:tcW w:w="1012" w:type="dxa"/>
            <w:tcBorders>
              <w:top w:val="single" w:sz="4" w:space="0" w:color="auto"/>
            </w:tcBorders>
            <w:tcMar>
              <w:left w:w="57" w:type="dxa"/>
              <w:right w:w="57" w:type="dxa"/>
            </w:tcMar>
            <w:vAlign w:val="center"/>
          </w:tcPr>
          <w:p w:rsidR="00785EE6" w:rsidRDefault="00785EE6" w:rsidP="00A715B5">
            <w:pPr>
              <w:jc w:val="center"/>
              <w:rPr>
                <w:rFonts w:ascii="宋体" w:hAnsi="宋体"/>
                <w:b/>
                <w:szCs w:val="21"/>
              </w:rPr>
            </w:pPr>
            <w:r>
              <w:rPr>
                <w:rFonts w:ascii="宋体" w:hAnsi="宋体" w:hint="eastAsia"/>
                <w:b/>
                <w:szCs w:val="21"/>
              </w:rPr>
              <w:t>课程性质</w:t>
            </w:r>
          </w:p>
        </w:tc>
        <w:tc>
          <w:tcPr>
            <w:tcW w:w="1570" w:type="dxa"/>
            <w:tcBorders>
              <w:top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b/>
                <w:szCs w:val="21"/>
              </w:rPr>
            </w:pPr>
            <w:r>
              <w:rPr>
                <w:rFonts w:ascii="宋体" w:hAnsi="宋体" w:hint="eastAsia"/>
                <w:b/>
                <w:szCs w:val="21"/>
              </w:rPr>
              <w:t>课程模块</w:t>
            </w:r>
          </w:p>
        </w:tc>
        <w:tc>
          <w:tcPr>
            <w:tcW w:w="2977" w:type="dxa"/>
            <w:gridSpan w:val="2"/>
            <w:tcBorders>
              <w:top w:val="single" w:sz="4" w:space="0" w:color="auto"/>
              <w:left w:val="single" w:sz="4" w:space="0" w:color="auto"/>
            </w:tcBorders>
            <w:tcMar>
              <w:left w:w="57" w:type="dxa"/>
              <w:right w:w="57" w:type="dxa"/>
            </w:tcMar>
            <w:vAlign w:val="center"/>
          </w:tcPr>
          <w:p w:rsidR="00785EE6" w:rsidRDefault="00785EE6" w:rsidP="00A715B5">
            <w:pPr>
              <w:jc w:val="center"/>
              <w:rPr>
                <w:rFonts w:ascii="宋体" w:hAnsi="宋体"/>
                <w:b/>
                <w:szCs w:val="21"/>
              </w:rPr>
            </w:pPr>
            <w:r>
              <w:rPr>
                <w:rFonts w:ascii="宋体" w:hAnsi="宋体" w:hint="eastAsia"/>
                <w:b/>
                <w:szCs w:val="21"/>
              </w:rPr>
              <w:t>课程名称</w:t>
            </w:r>
          </w:p>
        </w:tc>
        <w:tc>
          <w:tcPr>
            <w:tcW w:w="1275" w:type="dxa"/>
            <w:tcBorders>
              <w:top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b/>
                <w:szCs w:val="21"/>
              </w:rPr>
            </w:pPr>
            <w:r>
              <w:rPr>
                <w:rFonts w:ascii="宋体" w:hAnsi="宋体" w:hint="eastAsia"/>
                <w:b/>
                <w:szCs w:val="21"/>
              </w:rPr>
              <w:t>课程编码</w:t>
            </w:r>
          </w:p>
        </w:tc>
        <w:tc>
          <w:tcPr>
            <w:tcW w:w="567" w:type="dxa"/>
            <w:tcBorders>
              <w:top w:val="single" w:sz="4" w:space="0" w:color="auto"/>
              <w:left w:val="single" w:sz="4" w:space="0" w:color="auto"/>
            </w:tcBorders>
            <w:tcMar>
              <w:left w:w="57" w:type="dxa"/>
              <w:right w:w="57" w:type="dxa"/>
            </w:tcMar>
            <w:vAlign w:val="center"/>
          </w:tcPr>
          <w:p w:rsidR="00785EE6" w:rsidRDefault="00785EE6" w:rsidP="00A715B5">
            <w:pPr>
              <w:jc w:val="center"/>
              <w:rPr>
                <w:rFonts w:ascii="宋体" w:hAnsi="宋体"/>
                <w:b/>
                <w:szCs w:val="21"/>
              </w:rPr>
            </w:pPr>
            <w:r>
              <w:rPr>
                <w:rFonts w:ascii="宋体" w:hAnsi="宋体" w:hint="eastAsia"/>
                <w:b/>
                <w:szCs w:val="21"/>
              </w:rPr>
              <w:t>学分</w:t>
            </w:r>
          </w:p>
        </w:tc>
        <w:tc>
          <w:tcPr>
            <w:tcW w:w="848" w:type="dxa"/>
            <w:tcBorders>
              <w:top w:val="single" w:sz="4" w:space="0" w:color="auto"/>
            </w:tcBorders>
            <w:tcMar>
              <w:left w:w="57" w:type="dxa"/>
              <w:right w:w="57" w:type="dxa"/>
            </w:tcMar>
            <w:vAlign w:val="center"/>
          </w:tcPr>
          <w:p w:rsidR="00785EE6" w:rsidRDefault="00785EE6" w:rsidP="00A715B5">
            <w:pPr>
              <w:jc w:val="center"/>
              <w:rPr>
                <w:rFonts w:ascii="宋体" w:hAnsi="宋体"/>
                <w:b/>
                <w:szCs w:val="21"/>
              </w:rPr>
            </w:pPr>
            <w:r>
              <w:rPr>
                <w:rFonts w:ascii="宋体" w:hAnsi="宋体" w:hint="eastAsia"/>
                <w:b/>
                <w:szCs w:val="21"/>
              </w:rPr>
              <w:t>周学时</w:t>
            </w:r>
          </w:p>
        </w:tc>
        <w:tc>
          <w:tcPr>
            <w:tcW w:w="700" w:type="dxa"/>
            <w:tcBorders>
              <w:top w:val="single" w:sz="4" w:space="0" w:color="auto"/>
            </w:tcBorders>
            <w:tcMar>
              <w:left w:w="57" w:type="dxa"/>
              <w:right w:w="57" w:type="dxa"/>
            </w:tcMar>
            <w:vAlign w:val="center"/>
          </w:tcPr>
          <w:p w:rsidR="00785EE6" w:rsidRDefault="00785EE6" w:rsidP="00A715B5">
            <w:pPr>
              <w:jc w:val="center"/>
              <w:rPr>
                <w:rFonts w:ascii="宋体" w:hAnsi="宋体"/>
                <w:b/>
                <w:szCs w:val="21"/>
              </w:rPr>
            </w:pPr>
            <w:r>
              <w:rPr>
                <w:rFonts w:ascii="宋体" w:hAnsi="宋体" w:hint="eastAsia"/>
                <w:b/>
                <w:szCs w:val="21"/>
              </w:rPr>
              <w:t>开课</w:t>
            </w:r>
          </w:p>
          <w:p w:rsidR="00785EE6" w:rsidRDefault="00785EE6" w:rsidP="00A715B5">
            <w:pPr>
              <w:jc w:val="center"/>
              <w:rPr>
                <w:rFonts w:ascii="宋体" w:hAnsi="宋体"/>
                <w:b/>
                <w:szCs w:val="21"/>
              </w:rPr>
            </w:pPr>
            <w:r>
              <w:rPr>
                <w:rFonts w:ascii="宋体" w:hAnsi="宋体" w:hint="eastAsia"/>
                <w:b/>
                <w:szCs w:val="21"/>
              </w:rPr>
              <w:t>学期</w:t>
            </w:r>
          </w:p>
        </w:tc>
        <w:tc>
          <w:tcPr>
            <w:tcW w:w="630" w:type="dxa"/>
            <w:tcBorders>
              <w:top w:val="single" w:sz="4" w:space="0" w:color="auto"/>
            </w:tcBorders>
            <w:tcMar>
              <w:left w:w="57" w:type="dxa"/>
              <w:right w:w="57" w:type="dxa"/>
            </w:tcMar>
            <w:vAlign w:val="center"/>
          </w:tcPr>
          <w:p w:rsidR="00785EE6" w:rsidRDefault="00785EE6" w:rsidP="00A715B5">
            <w:pPr>
              <w:jc w:val="center"/>
              <w:rPr>
                <w:rFonts w:ascii="宋体" w:hAnsi="宋体"/>
                <w:b/>
                <w:szCs w:val="21"/>
              </w:rPr>
            </w:pPr>
            <w:r>
              <w:rPr>
                <w:rFonts w:ascii="宋体" w:hAnsi="宋体" w:hint="eastAsia"/>
                <w:b/>
                <w:szCs w:val="21"/>
              </w:rPr>
              <w:t>学分要求</w:t>
            </w:r>
          </w:p>
        </w:tc>
      </w:tr>
      <w:tr w:rsidR="00785EE6" w:rsidTr="00A715B5">
        <w:trPr>
          <w:trHeight w:val="686"/>
          <w:jc w:val="center"/>
        </w:trPr>
        <w:tc>
          <w:tcPr>
            <w:tcW w:w="1012" w:type="dxa"/>
            <w:vMerge w:val="restart"/>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必修课程</w:t>
            </w:r>
          </w:p>
        </w:tc>
        <w:tc>
          <w:tcPr>
            <w:tcW w:w="1570" w:type="dxa"/>
            <w:vMerge w:val="restart"/>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语言基础模块</w:t>
            </w:r>
          </w:p>
        </w:tc>
        <w:tc>
          <w:tcPr>
            <w:tcW w:w="578" w:type="dxa"/>
            <w:vMerge w:val="restart"/>
            <w:tcBorders>
              <w:left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A、B班</w:t>
            </w:r>
          </w:p>
        </w:tc>
        <w:tc>
          <w:tcPr>
            <w:tcW w:w="2399" w:type="dxa"/>
            <w:tcBorders>
              <w:left w:val="single" w:sz="4" w:space="0" w:color="auto"/>
              <w:bottom w:val="single" w:sz="4" w:space="0" w:color="auto"/>
            </w:tcBorders>
            <w:tcMar>
              <w:left w:w="57" w:type="dxa"/>
              <w:right w:w="57" w:type="dxa"/>
            </w:tcMar>
            <w:vAlign w:val="center"/>
          </w:tcPr>
          <w:p w:rsidR="00785EE6" w:rsidRDefault="00785EE6" w:rsidP="00A715B5">
            <w:pPr>
              <w:jc w:val="left"/>
              <w:rPr>
                <w:rFonts w:ascii="宋体" w:hAnsi="宋体"/>
                <w:szCs w:val="21"/>
              </w:rPr>
            </w:pPr>
            <w:r>
              <w:rPr>
                <w:rFonts w:ascii="宋体" w:hAnsi="宋体" w:hint="eastAsia"/>
                <w:szCs w:val="21"/>
              </w:rPr>
              <w:t>大学英语读写1（读写3学时+</w:t>
            </w:r>
            <w:r>
              <w:rPr>
                <w:rFonts w:ascii="宋体" w:hAnsi="宋体"/>
                <w:szCs w:val="21"/>
              </w:rPr>
              <w:t>说写</w:t>
            </w:r>
            <w:r>
              <w:rPr>
                <w:rFonts w:ascii="宋体" w:hAnsi="宋体" w:hint="eastAsia"/>
                <w:szCs w:val="21"/>
              </w:rPr>
              <w:t>1学时）</w:t>
            </w:r>
          </w:p>
        </w:tc>
        <w:tc>
          <w:tcPr>
            <w:tcW w:w="1275" w:type="dxa"/>
            <w:tcBorders>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1151671995001</w:t>
            </w:r>
          </w:p>
        </w:tc>
        <w:tc>
          <w:tcPr>
            <w:tcW w:w="567" w:type="dxa"/>
            <w:tcBorders>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4</w:t>
            </w:r>
          </w:p>
        </w:tc>
        <w:tc>
          <w:tcPr>
            <w:tcW w:w="848" w:type="dxa"/>
            <w:tcBorders>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4</w:t>
            </w:r>
          </w:p>
        </w:tc>
        <w:tc>
          <w:tcPr>
            <w:tcW w:w="700" w:type="dxa"/>
            <w:tcBorders>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秋季</w:t>
            </w:r>
          </w:p>
        </w:tc>
        <w:tc>
          <w:tcPr>
            <w:tcW w:w="630" w:type="dxa"/>
            <w:tcBorders>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w:t>
            </w:r>
            <w:r>
              <w:rPr>
                <w:rFonts w:ascii="宋体" w:hAnsi="宋体"/>
                <w:szCs w:val="21"/>
              </w:rPr>
              <w:t>4</w:t>
            </w:r>
          </w:p>
        </w:tc>
      </w:tr>
      <w:tr w:rsidR="00785EE6" w:rsidTr="00A715B5">
        <w:trPr>
          <w:trHeight w:val="556"/>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578" w:type="dxa"/>
            <w:vMerge/>
            <w:tcBorders>
              <w:left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399" w:type="dxa"/>
            <w:tcBorders>
              <w:top w:val="single" w:sz="4" w:space="0" w:color="auto"/>
              <w:left w:val="single" w:sz="4" w:space="0" w:color="auto"/>
            </w:tcBorders>
            <w:tcMar>
              <w:left w:w="57" w:type="dxa"/>
              <w:right w:w="57" w:type="dxa"/>
            </w:tcMar>
            <w:vAlign w:val="center"/>
          </w:tcPr>
          <w:p w:rsidR="00785EE6" w:rsidRDefault="00785EE6" w:rsidP="00A715B5">
            <w:pPr>
              <w:jc w:val="left"/>
              <w:rPr>
                <w:rFonts w:ascii="宋体" w:hAnsi="宋体"/>
                <w:szCs w:val="21"/>
              </w:rPr>
            </w:pPr>
            <w:r>
              <w:rPr>
                <w:rFonts w:ascii="宋体" w:hAnsi="宋体" w:hint="eastAsia"/>
                <w:szCs w:val="21"/>
              </w:rPr>
              <w:t>大学英语读写2（读写3学时+写译1学时）</w:t>
            </w:r>
          </w:p>
        </w:tc>
        <w:tc>
          <w:tcPr>
            <w:tcW w:w="1275" w:type="dxa"/>
            <w:tcBorders>
              <w:top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1151671995002</w:t>
            </w:r>
          </w:p>
        </w:tc>
        <w:tc>
          <w:tcPr>
            <w:tcW w:w="567" w:type="dxa"/>
            <w:tcBorders>
              <w:top w:val="single" w:sz="4" w:space="0" w:color="auto"/>
              <w:left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4</w:t>
            </w:r>
          </w:p>
        </w:tc>
        <w:tc>
          <w:tcPr>
            <w:tcW w:w="848" w:type="dxa"/>
            <w:tcBorders>
              <w:top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4</w:t>
            </w:r>
          </w:p>
        </w:tc>
        <w:tc>
          <w:tcPr>
            <w:tcW w:w="700" w:type="dxa"/>
            <w:tcBorders>
              <w:top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春季</w:t>
            </w:r>
          </w:p>
        </w:tc>
        <w:tc>
          <w:tcPr>
            <w:tcW w:w="630" w:type="dxa"/>
            <w:tcBorders>
              <w:top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w:t>
            </w:r>
            <w:r>
              <w:rPr>
                <w:rFonts w:ascii="宋体" w:hAnsi="宋体"/>
                <w:szCs w:val="21"/>
              </w:rPr>
              <w:t>4</w:t>
            </w:r>
          </w:p>
        </w:tc>
      </w:tr>
      <w:tr w:rsidR="00785EE6" w:rsidTr="00A715B5">
        <w:trPr>
          <w:trHeight w:val="524"/>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578" w:type="dxa"/>
            <w:vMerge w:val="restart"/>
            <w:tcBorders>
              <w:left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C、D班</w:t>
            </w:r>
          </w:p>
        </w:tc>
        <w:tc>
          <w:tcPr>
            <w:tcW w:w="2399" w:type="dxa"/>
            <w:tcBorders>
              <w:left w:val="single" w:sz="4" w:space="0" w:color="auto"/>
              <w:bottom w:val="single" w:sz="4" w:space="0" w:color="auto"/>
            </w:tcBorders>
            <w:tcMar>
              <w:left w:w="57" w:type="dxa"/>
              <w:right w:w="57" w:type="dxa"/>
            </w:tcMar>
            <w:vAlign w:val="center"/>
          </w:tcPr>
          <w:p w:rsidR="00785EE6" w:rsidRDefault="00785EE6" w:rsidP="00A715B5">
            <w:pPr>
              <w:jc w:val="left"/>
              <w:rPr>
                <w:rFonts w:ascii="宋体" w:hAnsi="宋体"/>
                <w:szCs w:val="21"/>
              </w:rPr>
            </w:pPr>
            <w:r>
              <w:rPr>
                <w:rFonts w:ascii="宋体" w:hAnsi="宋体" w:cs="宋体" w:hint="eastAsia"/>
                <w:bCs/>
                <w:color w:val="000000"/>
                <w:szCs w:val="21"/>
              </w:rPr>
              <w:t>综合英语1</w:t>
            </w:r>
            <w:r>
              <w:rPr>
                <w:rFonts w:ascii="宋体" w:hAnsi="宋体" w:hint="eastAsia"/>
                <w:szCs w:val="21"/>
              </w:rPr>
              <w:t>（综合3学时</w:t>
            </w:r>
            <w:r>
              <w:rPr>
                <w:rFonts w:ascii="宋体" w:hAnsi="宋体" w:cs="宋体" w:hint="eastAsia"/>
                <w:bCs/>
                <w:color w:val="000000"/>
                <w:szCs w:val="21"/>
              </w:rPr>
              <w:t>+听说</w:t>
            </w:r>
            <w:r>
              <w:rPr>
                <w:rFonts w:ascii="宋体" w:hAnsi="宋体" w:hint="eastAsia"/>
                <w:szCs w:val="21"/>
              </w:rPr>
              <w:t>1学时）</w:t>
            </w:r>
          </w:p>
        </w:tc>
        <w:tc>
          <w:tcPr>
            <w:tcW w:w="1275" w:type="dxa"/>
            <w:tcBorders>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1151671995003</w:t>
            </w:r>
          </w:p>
        </w:tc>
        <w:tc>
          <w:tcPr>
            <w:tcW w:w="567" w:type="dxa"/>
            <w:tcBorders>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4</w:t>
            </w:r>
          </w:p>
        </w:tc>
        <w:tc>
          <w:tcPr>
            <w:tcW w:w="848" w:type="dxa"/>
            <w:tcBorders>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4</w:t>
            </w:r>
          </w:p>
        </w:tc>
        <w:tc>
          <w:tcPr>
            <w:tcW w:w="700" w:type="dxa"/>
            <w:tcBorders>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秋季</w:t>
            </w:r>
          </w:p>
        </w:tc>
        <w:tc>
          <w:tcPr>
            <w:tcW w:w="630" w:type="dxa"/>
            <w:tcBorders>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w:t>
            </w:r>
            <w:r>
              <w:rPr>
                <w:rFonts w:ascii="宋体" w:hAnsi="宋体"/>
                <w:szCs w:val="21"/>
              </w:rPr>
              <w:t>4</w:t>
            </w:r>
          </w:p>
        </w:tc>
      </w:tr>
      <w:tr w:rsidR="00785EE6" w:rsidTr="00A715B5">
        <w:trPr>
          <w:trHeight w:val="604"/>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578" w:type="dxa"/>
            <w:vMerge/>
            <w:tcBorders>
              <w:left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399" w:type="dxa"/>
            <w:tcBorders>
              <w:top w:val="single" w:sz="4" w:space="0" w:color="auto"/>
              <w:left w:val="single" w:sz="4" w:space="0" w:color="auto"/>
            </w:tcBorders>
            <w:tcMar>
              <w:left w:w="57" w:type="dxa"/>
              <w:right w:w="57" w:type="dxa"/>
            </w:tcMar>
            <w:vAlign w:val="center"/>
          </w:tcPr>
          <w:p w:rsidR="00785EE6" w:rsidRDefault="00785EE6" w:rsidP="00A715B5">
            <w:pPr>
              <w:jc w:val="left"/>
              <w:rPr>
                <w:rFonts w:ascii="宋体" w:hAnsi="宋体"/>
                <w:szCs w:val="21"/>
              </w:rPr>
            </w:pPr>
            <w:r>
              <w:rPr>
                <w:rFonts w:ascii="宋体" w:hAnsi="宋体" w:cs="宋体" w:hint="eastAsia"/>
                <w:bCs/>
                <w:color w:val="000000"/>
                <w:szCs w:val="21"/>
              </w:rPr>
              <w:t>综合英语2</w:t>
            </w:r>
            <w:r>
              <w:rPr>
                <w:rFonts w:ascii="宋体" w:hAnsi="宋体" w:hint="eastAsia"/>
                <w:szCs w:val="21"/>
              </w:rPr>
              <w:t>（综合3学时</w:t>
            </w:r>
            <w:r>
              <w:rPr>
                <w:rFonts w:ascii="宋体" w:hAnsi="宋体" w:cs="宋体" w:hint="eastAsia"/>
                <w:bCs/>
                <w:color w:val="000000"/>
                <w:szCs w:val="21"/>
              </w:rPr>
              <w:t>+听说</w:t>
            </w:r>
            <w:r>
              <w:rPr>
                <w:rFonts w:ascii="宋体" w:hAnsi="宋体" w:hint="eastAsia"/>
                <w:szCs w:val="21"/>
              </w:rPr>
              <w:t>1学时）</w:t>
            </w:r>
          </w:p>
        </w:tc>
        <w:tc>
          <w:tcPr>
            <w:tcW w:w="1275" w:type="dxa"/>
            <w:tcBorders>
              <w:top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1151671995004</w:t>
            </w:r>
          </w:p>
        </w:tc>
        <w:tc>
          <w:tcPr>
            <w:tcW w:w="567" w:type="dxa"/>
            <w:tcBorders>
              <w:top w:val="single" w:sz="4" w:space="0" w:color="auto"/>
              <w:left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4</w:t>
            </w:r>
          </w:p>
        </w:tc>
        <w:tc>
          <w:tcPr>
            <w:tcW w:w="848" w:type="dxa"/>
            <w:tcBorders>
              <w:top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4</w:t>
            </w:r>
          </w:p>
        </w:tc>
        <w:tc>
          <w:tcPr>
            <w:tcW w:w="700" w:type="dxa"/>
            <w:tcBorders>
              <w:top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春季</w:t>
            </w:r>
          </w:p>
        </w:tc>
        <w:tc>
          <w:tcPr>
            <w:tcW w:w="630" w:type="dxa"/>
            <w:tcBorders>
              <w:top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w:t>
            </w:r>
            <w:r>
              <w:rPr>
                <w:rFonts w:ascii="宋体" w:hAnsi="宋体"/>
                <w:szCs w:val="21"/>
              </w:rPr>
              <w:t>4</w:t>
            </w:r>
          </w:p>
        </w:tc>
      </w:tr>
      <w:tr w:rsidR="00785EE6" w:rsidTr="00A715B5">
        <w:trPr>
          <w:trHeight w:val="312"/>
          <w:jc w:val="center"/>
        </w:trPr>
        <w:tc>
          <w:tcPr>
            <w:tcW w:w="1012" w:type="dxa"/>
            <w:vMerge w:val="restart"/>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选修课程</w:t>
            </w:r>
          </w:p>
        </w:tc>
        <w:tc>
          <w:tcPr>
            <w:tcW w:w="1570" w:type="dxa"/>
            <w:vMerge w:val="restart"/>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语言能力提高模块</w:t>
            </w:r>
          </w:p>
        </w:tc>
        <w:tc>
          <w:tcPr>
            <w:tcW w:w="2977" w:type="dxa"/>
            <w:gridSpan w:val="2"/>
            <w:tcBorders>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实用交际英语口语</w:t>
            </w:r>
          </w:p>
        </w:tc>
        <w:tc>
          <w:tcPr>
            <w:tcW w:w="1275" w:type="dxa"/>
            <w:tcBorders>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1151672015005</w:t>
            </w:r>
          </w:p>
        </w:tc>
        <w:tc>
          <w:tcPr>
            <w:tcW w:w="567" w:type="dxa"/>
            <w:tcBorders>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高级英语听说</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1151672011006</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演讲与陈述</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1151672015007</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演讲与辩论</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1151672015008</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英语应用文写作</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1151672015009</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高级英语写作</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1151672015010</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英美报刊选读</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1151672015011</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296"/>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新闻英语</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1151672015050</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7"/>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实用英语口笔译</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1151672015012</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29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托福考试技巧与训练</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1151672015013</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283"/>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托福考试读写专项辅导</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1151672015014</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250"/>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托福考试听说专项辅导</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1151672015015</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57"/>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雅思考试技巧与训练</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1151672015016</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284"/>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bCs/>
                <w:szCs w:val="21"/>
              </w:rPr>
              <w:t>雅思听说专项辅导</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1151672015017</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29"/>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bCs/>
                <w:szCs w:val="21"/>
              </w:rPr>
              <w:t>雅思读写专项辅导</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1151672015018</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251"/>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四级考试听力专项辅导</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1151672015019</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61"/>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四级考试口语专项辅导</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1151672015020</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250"/>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四级考试阅读专项辅导</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1151672015021</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297"/>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四级考试翻译与写作专项辅导</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1151672015022</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05"/>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六级考试专项辅导</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1151672015023</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2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四级考试技巧与训练</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1151672015024</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39"/>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right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六级考试技巧与训练</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1151672015025</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val="restart"/>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通用学术英语模块</w:t>
            </w: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学术英语阅读</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1151672015026</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学术英语听说</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1151672015027</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学术英语写作</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1151672015028</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学术英语（综合）</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1151672015029</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学术英语（社会科学）</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1151672015030</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284"/>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学术英语（文史哲）</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1151672015031</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29"/>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学术英语（管理科学）</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1151672015032</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284"/>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学术英语（科学技术）</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1151672015033</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val="restart"/>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跨语言文化交际模块</w:t>
            </w: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商务英语交流</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1151672015034</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国际商务礼仪</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1151672011035</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英美文化概况</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1151672015036</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40"/>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跨文化交际</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1151672011037</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273"/>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跨文化交际技巧</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1151672015038</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136"/>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英语影视鉴赏</w:t>
            </w:r>
          </w:p>
        </w:tc>
        <w:tc>
          <w:tcPr>
            <w:tcW w:w="1275" w:type="dxa"/>
            <w:tcBorders>
              <w:top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1151672015039</w:t>
            </w:r>
          </w:p>
        </w:tc>
        <w:tc>
          <w:tcPr>
            <w:tcW w:w="567" w:type="dxa"/>
            <w:tcBorders>
              <w:top w:val="single" w:sz="4" w:space="0" w:color="auto"/>
              <w:left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2</w:t>
            </w:r>
          </w:p>
        </w:tc>
        <w:tc>
          <w:tcPr>
            <w:tcW w:w="848" w:type="dxa"/>
            <w:tcBorders>
              <w:top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06"/>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希腊神话与圣经故事</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1151672011040</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06"/>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中国文化概况</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1151672015041</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06"/>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中国文化英语阅读</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1151672015042</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182"/>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英美文学选读</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1151672011043</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181"/>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英美现当代小说赏析</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1151672015044</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319"/>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1570" w:type="dxa"/>
            <w:vMerge/>
            <w:tcBorders>
              <w:bottom w:val="single" w:sz="4" w:space="0" w:color="auto"/>
            </w:tcBorders>
            <w:tcMar>
              <w:left w:w="57" w:type="dxa"/>
              <w:right w:w="57" w:type="dxa"/>
            </w:tcMar>
            <w:vAlign w:val="center"/>
          </w:tcPr>
          <w:p w:rsidR="00785EE6" w:rsidRDefault="00785EE6" w:rsidP="00A715B5">
            <w:pPr>
              <w:jc w:val="center"/>
              <w:rPr>
                <w:rFonts w:ascii="宋体" w:hAnsi="宋体"/>
                <w:szCs w:val="21"/>
              </w:rPr>
            </w:pPr>
          </w:p>
        </w:tc>
        <w:tc>
          <w:tcPr>
            <w:tcW w:w="2977" w:type="dxa"/>
            <w:gridSpan w:val="2"/>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文学翻译赏鉴</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r>
              <w:rPr>
                <w:rFonts w:ascii="宋体" w:hAnsi="宋体" w:hint="eastAsia"/>
                <w:sz w:val="16"/>
                <w:szCs w:val="16"/>
              </w:rPr>
              <w:t>1151672015045</w:t>
            </w: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2</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0</w:t>
            </w:r>
            <w:r>
              <w:rPr>
                <w:rFonts w:ascii="宋体" w:hAnsi="宋体" w:hint="eastAsia"/>
                <w:szCs w:val="21"/>
              </w:rPr>
              <w:t>-2</w:t>
            </w:r>
          </w:p>
        </w:tc>
      </w:tr>
      <w:tr w:rsidR="00785EE6" w:rsidTr="00A715B5">
        <w:trPr>
          <w:trHeight w:val="267"/>
          <w:jc w:val="center"/>
        </w:trPr>
        <w:tc>
          <w:tcPr>
            <w:tcW w:w="1012" w:type="dxa"/>
            <w:vMerge w:val="restart"/>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课外学习</w:t>
            </w:r>
          </w:p>
        </w:tc>
        <w:tc>
          <w:tcPr>
            <w:tcW w:w="4547" w:type="dxa"/>
            <w:gridSpan w:val="3"/>
            <w:tcBorders>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数字化平台上机说写</w:t>
            </w:r>
          </w:p>
        </w:tc>
        <w:tc>
          <w:tcPr>
            <w:tcW w:w="1275" w:type="dxa"/>
            <w:tcBorders>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p>
        </w:tc>
        <w:tc>
          <w:tcPr>
            <w:tcW w:w="567" w:type="dxa"/>
            <w:tcBorders>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0</w:t>
            </w:r>
          </w:p>
        </w:tc>
        <w:tc>
          <w:tcPr>
            <w:tcW w:w="848" w:type="dxa"/>
            <w:tcBorders>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szCs w:val="21"/>
              </w:rPr>
              <w:t>1</w:t>
            </w:r>
          </w:p>
        </w:tc>
        <w:tc>
          <w:tcPr>
            <w:tcW w:w="700" w:type="dxa"/>
            <w:tcBorders>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bottom w:val="single" w:sz="4" w:space="0" w:color="auto"/>
            </w:tcBorders>
            <w:tcMar>
              <w:left w:w="57" w:type="dxa"/>
              <w:right w:w="57" w:type="dxa"/>
            </w:tcMar>
            <w:vAlign w:val="center"/>
          </w:tcPr>
          <w:p w:rsidR="00785EE6" w:rsidRDefault="00785EE6" w:rsidP="00A715B5">
            <w:pPr>
              <w:jc w:val="center"/>
              <w:rPr>
                <w:rFonts w:ascii="宋体" w:hAnsi="宋体"/>
                <w:szCs w:val="21"/>
              </w:rPr>
            </w:pPr>
          </w:p>
        </w:tc>
      </w:tr>
      <w:tr w:rsidR="00785EE6" w:rsidTr="00A715B5">
        <w:trPr>
          <w:trHeight w:val="323"/>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4547" w:type="dxa"/>
            <w:gridSpan w:val="3"/>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数字化平台上机写译</w:t>
            </w:r>
          </w:p>
        </w:tc>
        <w:tc>
          <w:tcPr>
            <w:tcW w:w="1275" w:type="dxa"/>
            <w:tcBorders>
              <w:top w:val="single" w:sz="4" w:space="0" w:color="auto"/>
              <w:bottom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p>
        </w:tc>
        <w:tc>
          <w:tcPr>
            <w:tcW w:w="567" w:type="dxa"/>
            <w:tcBorders>
              <w:top w:val="single" w:sz="4" w:space="0" w:color="auto"/>
              <w:left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0</w:t>
            </w:r>
          </w:p>
        </w:tc>
        <w:tc>
          <w:tcPr>
            <w:tcW w:w="848"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1</w:t>
            </w:r>
          </w:p>
        </w:tc>
        <w:tc>
          <w:tcPr>
            <w:tcW w:w="70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bottom w:val="single" w:sz="4" w:space="0" w:color="auto"/>
            </w:tcBorders>
            <w:tcMar>
              <w:left w:w="57" w:type="dxa"/>
              <w:right w:w="57" w:type="dxa"/>
            </w:tcMar>
            <w:vAlign w:val="center"/>
          </w:tcPr>
          <w:p w:rsidR="00785EE6" w:rsidRDefault="00785EE6" w:rsidP="00A715B5">
            <w:pPr>
              <w:jc w:val="center"/>
              <w:rPr>
                <w:rFonts w:ascii="宋体" w:hAnsi="宋体"/>
                <w:szCs w:val="21"/>
              </w:rPr>
            </w:pPr>
          </w:p>
        </w:tc>
      </w:tr>
      <w:tr w:rsidR="00785EE6" w:rsidTr="00A715B5">
        <w:trPr>
          <w:trHeight w:val="297"/>
          <w:jc w:val="center"/>
        </w:trPr>
        <w:tc>
          <w:tcPr>
            <w:tcW w:w="1012" w:type="dxa"/>
            <w:vMerge/>
            <w:tcMar>
              <w:left w:w="57" w:type="dxa"/>
              <w:right w:w="57" w:type="dxa"/>
            </w:tcMar>
            <w:vAlign w:val="center"/>
          </w:tcPr>
          <w:p w:rsidR="00785EE6" w:rsidRDefault="00785EE6" w:rsidP="00A715B5">
            <w:pPr>
              <w:jc w:val="center"/>
              <w:rPr>
                <w:rFonts w:ascii="宋体" w:hAnsi="宋体"/>
                <w:szCs w:val="21"/>
              </w:rPr>
            </w:pPr>
          </w:p>
        </w:tc>
        <w:tc>
          <w:tcPr>
            <w:tcW w:w="4547" w:type="dxa"/>
            <w:gridSpan w:val="3"/>
            <w:tcBorders>
              <w:top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在线自主学习课程（</w:t>
            </w:r>
            <w:r>
              <w:rPr>
                <w:rFonts w:ascii="宋体" w:hAnsi="宋体"/>
                <w:szCs w:val="21"/>
              </w:rPr>
              <w:t>听力</w:t>
            </w:r>
            <w:r>
              <w:rPr>
                <w:rFonts w:ascii="宋体" w:hAnsi="宋体" w:hint="eastAsia"/>
                <w:szCs w:val="21"/>
              </w:rPr>
              <w:t>1-4）</w:t>
            </w:r>
          </w:p>
        </w:tc>
        <w:tc>
          <w:tcPr>
            <w:tcW w:w="1275" w:type="dxa"/>
            <w:tcBorders>
              <w:top w:val="single" w:sz="4" w:space="0" w:color="auto"/>
              <w:right w:val="single" w:sz="4" w:space="0" w:color="auto"/>
            </w:tcBorders>
            <w:tcMar>
              <w:left w:w="57" w:type="dxa"/>
              <w:right w:w="57" w:type="dxa"/>
            </w:tcMar>
            <w:vAlign w:val="center"/>
          </w:tcPr>
          <w:p w:rsidR="00785EE6" w:rsidRDefault="00785EE6" w:rsidP="00A715B5">
            <w:pPr>
              <w:jc w:val="center"/>
              <w:rPr>
                <w:rFonts w:ascii="宋体" w:hAnsi="宋体"/>
                <w:sz w:val="16"/>
                <w:szCs w:val="16"/>
              </w:rPr>
            </w:pPr>
          </w:p>
        </w:tc>
        <w:tc>
          <w:tcPr>
            <w:tcW w:w="567" w:type="dxa"/>
            <w:tcBorders>
              <w:top w:val="single" w:sz="4" w:space="0" w:color="auto"/>
              <w:left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0</w:t>
            </w:r>
          </w:p>
        </w:tc>
        <w:tc>
          <w:tcPr>
            <w:tcW w:w="848" w:type="dxa"/>
            <w:tcBorders>
              <w:top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0</w:t>
            </w:r>
          </w:p>
        </w:tc>
        <w:tc>
          <w:tcPr>
            <w:tcW w:w="700" w:type="dxa"/>
            <w:tcBorders>
              <w:top w:val="single" w:sz="4" w:space="0" w:color="auto"/>
            </w:tcBorders>
            <w:tcMar>
              <w:left w:w="57" w:type="dxa"/>
              <w:right w:w="57" w:type="dxa"/>
            </w:tcMar>
            <w:vAlign w:val="center"/>
          </w:tcPr>
          <w:p w:rsidR="00785EE6" w:rsidRDefault="00785EE6" w:rsidP="00A715B5">
            <w:pPr>
              <w:jc w:val="center"/>
              <w:rPr>
                <w:rFonts w:ascii="宋体" w:hAnsi="宋体"/>
                <w:szCs w:val="21"/>
              </w:rPr>
            </w:pPr>
            <w:r>
              <w:rPr>
                <w:rFonts w:ascii="宋体" w:hAnsi="宋体" w:hint="eastAsia"/>
                <w:szCs w:val="21"/>
              </w:rPr>
              <w:t>春秋</w:t>
            </w:r>
          </w:p>
        </w:tc>
        <w:tc>
          <w:tcPr>
            <w:tcW w:w="630" w:type="dxa"/>
            <w:tcBorders>
              <w:top w:val="single" w:sz="4" w:space="0" w:color="auto"/>
            </w:tcBorders>
            <w:tcMar>
              <w:left w:w="57" w:type="dxa"/>
              <w:right w:w="57" w:type="dxa"/>
            </w:tcMar>
            <w:vAlign w:val="center"/>
          </w:tcPr>
          <w:p w:rsidR="00785EE6" w:rsidRDefault="00785EE6" w:rsidP="00A715B5">
            <w:pPr>
              <w:jc w:val="center"/>
              <w:rPr>
                <w:rFonts w:ascii="宋体" w:hAnsi="宋体"/>
                <w:szCs w:val="21"/>
              </w:rPr>
            </w:pPr>
          </w:p>
        </w:tc>
      </w:tr>
    </w:tbl>
    <w:p w:rsidR="00785EE6" w:rsidRDefault="00785EE6" w:rsidP="004A4326">
      <w:pPr>
        <w:spacing w:beforeLines="50" w:before="156" w:line="320" w:lineRule="exact"/>
        <w:ind w:firstLineChars="200" w:firstLine="440"/>
        <w:rPr>
          <w:rFonts w:ascii="宋体" w:hAnsi="宋体"/>
          <w:sz w:val="22"/>
          <w:szCs w:val="22"/>
        </w:rPr>
      </w:pPr>
      <w:r>
        <w:rPr>
          <w:rFonts w:ascii="宋体" w:hAnsi="宋体" w:hint="eastAsia"/>
          <w:sz w:val="22"/>
          <w:szCs w:val="22"/>
        </w:rPr>
        <w:t>注：</w:t>
      </w:r>
    </w:p>
    <w:p w:rsidR="00785EE6" w:rsidRDefault="00785EE6" w:rsidP="00785EE6">
      <w:pPr>
        <w:spacing w:line="360" w:lineRule="exact"/>
        <w:ind w:firstLineChars="200" w:firstLine="440"/>
        <w:rPr>
          <w:rFonts w:ascii="宋体" w:hAnsi="宋体"/>
          <w:sz w:val="22"/>
          <w:szCs w:val="22"/>
        </w:rPr>
      </w:pPr>
      <w:r>
        <w:rPr>
          <w:rFonts w:ascii="宋体" w:hAnsi="宋体" w:hint="eastAsia"/>
          <w:sz w:val="22"/>
          <w:szCs w:val="22"/>
        </w:rPr>
        <w:t>1.课外学习是针对普通类学生的要求，指第一学年语言基础学习阶段的课外辅助学习，包括数字化平台上机学习和在线自主学习两种形式。其中，上机学习要求每周完成1学时在语言实训中心的课程；在线自主学习要求学生自学完成听力教材（1-4册）内容（每学期完成2册）。以上两种形式学习的情况计入语言基础课程期末总成绩，分别占总成绩的10%。</w:t>
      </w:r>
    </w:p>
    <w:p w:rsidR="00785EE6" w:rsidRDefault="00785EE6" w:rsidP="00785EE6">
      <w:pPr>
        <w:spacing w:line="360" w:lineRule="exact"/>
        <w:ind w:firstLineChars="200" w:firstLine="440"/>
        <w:rPr>
          <w:rFonts w:ascii="宋体" w:hAnsi="宋体"/>
          <w:sz w:val="22"/>
          <w:szCs w:val="22"/>
        </w:rPr>
      </w:pPr>
      <w:r>
        <w:rPr>
          <w:rFonts w:ascii="宋体" w:hAnsi="宋体" w:hint="eastAsia"/>
          <w:sz w:val="22"/>
          <w:szCs w:val="22"/>
        </w:rPr>
        <w:t>2.上述课程列表中的“选修课程”同时可以作为“人文与艺术”类通识选修课程（见通识教育选修课程目录中的外语类课程），与大学英语课程学习要求的2学分选修课程不重复选择、不重复计算。</w:t>
      </w:r>
    </w:p>
    <w:p w:rsidR="00785EE6" w:rsidRDefault="00785EE6" w:rsidP="00785EE6">
      <w:pPr>
        <w:spacing w:line="360" w:lineRule="exact"/>
        <w:ind w:firstLineChars="200" w:firstLine="440"/>
        <w:rPr>
          <w:rFonts w:ascii="宋体" w:hAnsi="宋体"/>
          <w:sz w:val="22"/>
          <w:szCs w:val="22"/>
        </w:rPr>
      </w:pPr>
    </w:p>
    <w:p w:rsidR="00785EE6" w:rsidRDefault="00785EE6" w:rsidP="00785EE6">
      <w:pPr>
        <w:spacing w:line="360" w:lineRule="exact"/>
        <w:ind w:firstLineChars="200" w:firstLine="440"/>
        <w:rPr>
          <w:rFonts w:ascii="宋体" w:hAnsi="宋体"/>
          <w:sz w:val="22"/>
          <w:szCs w:val="22"/>
        </w:rPr>
      </w:pPr>
    </w:p>
    <w:p w:rsidR="00B90FCC" w:rsidRPr="00E56369" w:rsidRDefault="00B90FCC">
      <w:bookmarkStart w:id="1" w:name="_GoBack"/>
      <w:bookmarkEnd w:id="1"/>
    </w:p>
    <w:sectPr w:rsidR="00B90FCC" w:rsidRPr="00E563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CDE" w:rsidRDefault="00007CDE" w:rsidP="00785EE6">
      <w:r>
        <w:separator/>
      </w:r>
    </w:p>
  </w:endnote>
  <w:endnote w:type="continuationSeparator" w:id="0">
    <w:p w:rsidR="00007CDE" w:rsidRDefault="00007CDE" w:rsidP="0078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CDE" w:rsidRDefault="00007CDE" w:rsidP="00785EE6">
      <w:r>
        <w:separator/>
      </w:r>
    </w:p>
  </w:footnote>
  <w:footnote w:type="continuationSeparator" w:id="0">
    <w:p w:rsidR="00007CDE" w:rsidRDefault="00007CDE" w:rsidP="00785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EE6"/>
    <w:rsid w:val="00007CDE"/>
    <w:rsid w:val="004A4326"/>
    <w:rsid w:val="00777CE1"/>
    <w:rsid w:val="00785EE6"/>
    <w:rsid w:val="00B90FCC"/>
    <w:rsid w:val="00E56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E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5E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5EE6"/>
    <w:rPr>
      <w:sz w:val="18"/>
      <w:szCs w:val="18"/>
    </w:rPr>
  </w:style>
  <w:style w:type="paragraph" w:styleId="a4">
    <w:name w:val="footer"/>
    <w:basedOn w:val="a"/>
    <w:link w:val="Char0"/>
    <w:uiPriority w:val="99"/>
    <w:unhideWhenUsed/>
    <w:rsid w:val="00785E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5EE6"/>
    <w:rPr>
      <w:sz w:val="18"/>
      <w:szCs w:val="18"/>
    </w:rPr>
  </w:style>
  <w:style w:type="paragraph" w:customStyle="1" w:styleId="2">
    <w:name w:val="列出段落2"/>
    <w:basedOn w:val="a"/>
    <w:qFormat/>
    <w:rsid w:val="00785EE6"/>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E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5E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5EE6"/>
    <w:rPr>
      <w:sz w:val="18"/>
      <w:szCs w:val="18"/>
    </w:rPr>
  </w:style>
  <w:style w:type="paragraph" w:styleId="a4">
    <w:name w:val="footer"/>
    <w:basedOn w:val="a"/>
    <w:link w:val="Char0"/>
    <w:uiPriority w:val="99"/>
    <w:unhideWhenUsed/>
    <w:rsid w:val="00785E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5EE6"/>
    <w:rPr>
      <w:sz w:val="18"/>
      <w:szCs w:val="18"/>
    </w:rPr>
  </w:style>
  <w:style w:type="paragraph" w:customStyle="1" w:styleId="2">
    <w:name w:val="列出段落2"/>
    <w:basedOn w:val="a"/>
    <w:qFormat/>
    <w:rsid w:val="00785EE6"/>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cp:revision>
  <dcterms:created xsi:type="dcterms:W3CDTF">2015-11-20T07:04:00Z</dcterms:created>
  <dcterms:modified xsi:type="dcterms:W3CDTF">2015-12-31T07:53:00Z</dcterms:modified>
</cp:coreProperties>
</file>